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1689" w14:textId="77777777" w:rsidR="001C3C51" w:rsidRPr="001C3C51" w:rsidRDefault="001C3C51" w:rsidP="001C3C51">
      <w:pPr>
        <w:jc w:val="center"/>
        <w:rPr>
          <w:rFonts w:ascii="Arial Narrow" w:eastAsia="Calibri" w:hAnsi="Arial Narrow" w:cs="Calibri"/>
          <w:noProof/>
          <w:szCs w:val="24"/>
          <w:lang w:eastAsia="hu-HU"/>
        </w:rPr>
      </w:pPr>
      <w:bookmarkStart w:id="0" w:name="_GoBack"/>
      <w:bookmarkEnd w:id="0"/>
      <w:r w:rsidRPr="001C3C51">
        <w:rPr>
          <w:rFonts w:ascii="Arial Narrow" w:eastAsia="Calibri" w:hAnsi="Arial Narrow" w:cs="Calibri"/>
          <w:b/>
          <w:bCs/>
          <w:sz w:val="22"/>
          <w:lang w:eastAsia="hu-HU"/>
        </w:rPr>
        <w:t>Témavezetéssel kapcsolatos együttműködési elvárások - értékelőlap</w:t>
      </w:r>
    </w:p>
    <w:p w14:paraId="20DE5FFC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</w:p>
    <w:p w14:paraId="0E1514B3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>Az alábbi kérdőív a témavezetéssel kapcsolatos elvárások tisztázását segíti elő. Az elvárások egyeztetésének javasolt menete a következő:</w:t>
      </w:r>
    </w:p>
    <w:p w14:paraId="59C7DBCF" w14:textId="77777777" w:rsidR="001C3C51" w:rsidRPr="001C3C51" w:rsidRDefault="001C3C51" w:rsidP="001C3C51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 Narrow" w:eastAsia="Calibri" w:hAnsi="Arial Narrow" w:cs="Times New Roman"/>
          <w:szCs w:val="24"/>
        </w:rPr>
      </w:pPr>
      <w:r w:rsidRPr="001C3C51">
        <w:rPr>
          <w:rFonts w:ascii="Arial Narrow" w:eastAsia="Calibri" w:hAnsi="Arial Narrow" w:cs="Calibri"/>
          <w:sz w:val="22"/>
        </w:rPr>
        <w:t xml:space="preserve">A doktori témavezetésben való megállapodáskor a kérdőív egy példányát a témavezető, egyet pedig a doktorandusz külön-külön, egymástól függetlenül kitölt. </w:t>
      </w:r>
    </w:p>
    <w:p w14:paraId="63488AA9" w14:textId="77777777" w:rsidR="001C3C51" w:rsidRPr="001C3C51" w:rsidRDefault="001C3C51" w:rsidP="001C3C51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 Narrow" w:eastAsia="Calibri" w:hAnsi="Arial Narrow" w:cs="Times New Roman"/>
          <w:szCs w:val="24"/>
        </w:rPr>
      </w:pPr>
      <w:r w:rsidRPr="001C3C51">
        <w:rPr>
          <w:rFonts w:ascii="Arial Narrow" w:eastAsia="Calibri" w:hAnsi="Arial Narrow" w:cs="Calibri"/>
          <w:sz w:val="22"/>
        </w:rPr>
        <w:t xml:space="preserve">Ezután a két fél kölcsönösen megismeri a másik értékelését és beszélnek arról, hogy a különbségeket a jövőben mennyire érzékelik konfliktusosnak, milyen módon tudnak együttműködni, milyen kompromisszumos megoldást tudnak elfogadni. </w:t>
      </w:r>
    </w:p>
    <w:p w14:paraId="70FC55E6" w14:textId="77777777" w:rsidR="001C3C51" w:rsidRPr="001C3C51" w:rsidRDefault="001C3C51" w:rsidP="001C3C51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 Narrow" w:eastAsia="Calibri" w:hAnsi="Arial Narrow" w:cs="Times New Roman"/>
          <w:szCs w:val="24"/>
        </w:rPr>
      </w:pPr>
      <w:r w:rsidRPr="001C3C51">
        <w:rPr>
          <w:rFonts w:ascii="Arial Narrow" w:eastAsia="Calibri" w:hAnsi="Arial Narrow" w:cs="Calibri"/>
          <w:sz w:val="22"/>
        </w:rPr>
        <w:t>A közösen egyeztetett elvárásokat egy közösen kitöltött kérdőíven rögzítik, amelyet aláírnak.</w:t>
      </w:r>
    </w:p>
    <w:p w14:paraId="1B7856F6" w14:textId="6B866398" w:rsidR="001C3C51" w:rsidRPr="001C3C51" w:rsidRDefault="001C3C51" w:rsidP="001C3C51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 Narrow" w:eastAsia="Calibri" w:hAnsi="Arial Narrow" w:cs="Times New Roman"/>
          <w:szCs w:val="24"/>
        </w:rPr>
      </w:pPr>
      <w:r w:rsidRPr="001C3C51">
        <w:rPr>
          <w:rFonts w:ascii="Arial Narrow" w:eastAsia="Calibri" w:hAnsi="Arial Narrow" w:cs="Calibri"/>
          <w:sz w:val="22"/>
        </w:rPr>
        <w:t>Az aláírt kérdőívet el kell juttatni a programigazgatónak/doktori iskola vezetőnek.</w:t>
      </w:r>
    </w:p>
    <w:p w14:paraId="72ACDF53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>A kérdőív kitöltése:</w:t>
      </w:r>
    </w:p>
    <w:p w14:paraId="6D0069B0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>Kérjük olvassa el az alábbi táblázatokban szereplő állításpárokat. Minden egyes pont egy-egy álláspontot fejez ki, amit a témavezető vagy a doktorandusz képvisel. Kérjük jelölje be, hogy az Ön álláspontja hol helyezkedik el ebben. Az 1-es azt jelenti, hogy teljes mértékben a bal oldali állítással ért egyet, az 5-ös esetében teljes mértékben a jobb oldali állítást vallja magáénak.</w:t>
      </w:r>
    </w:p>
    <w:p w14:paraId="43E36C90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</w:p>
    <w:tbl>
      <w:tblPr>
        <w:tblStyle w:val="Rcsostblzat"/>
        <w:tblW w:w="14596" w:type="dxa"/>
        <w:tblLayout w:type="fixed"/>
        <w:tblLook w:val="06A0" w:firstRow="1" w:lastRow="0" w:firstColumn="1" w:lastColumn="0" w:noHBand="1" w:noVBand="1"/>
      </w:tblPr>
      <w:tblGrid>
        <w:gridCol w:w="704"/>
        <w:gridCol w:w="6237"/>
        <w:gridCol w:w="1485"/>
        <w:gridCol w:w="6170"/>
      </w:tblGrid>
      <w:tr w:rsidR="001C3C51" w:rsidRPr="001C3C51" w14:paraId="32D7C564" w14:textId="77777777" w:rsidTr="00A70999">
        <w:trPr>
          <w:tblHeader/>
        </w:trPr>
        <w:tc>
          <w:tcPr>
            <w:tcW w:w="704" w:type="dxa"/>
            <w:vAlign w:val="center"/>
          </w:tcPr>
          <w:p w14:paraId="06C8B23F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b/>
                <w:bCs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b/>
                <w:bCs/>
                <w:noProof/>
                <w:szCs w:val="24"/>
              </w:rPr>
              <w:t>Ssz</w:t>
            </w:r>
          </w:p>
        </w:tc>
        <w:tc>
          <w:tcPr>
            <w:tcW w:w="6237" w:type="dxa"/>
          </w:tcPr>
          <w:p w14:paraId="5C6ADDDF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b/>
                <w:bCs/>
                <w:noProof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0ACE9CB1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b/>
                <w:bCs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b/>
                <w:bCs/>
                <w:noProof/>
                <w:szCs w:val="24"/>
              </w:rPr>
              <w:t>Értékelés</w:t>
            </w:r>
          </w:p>
        </w:tc>
        <w:tc>
          <w:tcPr>
            <w:tcW w:w="6170" w:type="dxa"/>
          </w:tcPr>
          <w:p w14:paraId="335DDC43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b/>
                <w:bCs/>
                <w:noProof/>
                <w:szCs w:val="24"/>
              </w:rPr>
            </w:pPr>
          </w:p>
        </w:tc>
      </w:tr>
      <w:tr w:rsidR="001C3C51" w:rsidRPr="001C3C51" w14:paraId="5FC7D510" w14:textId="77777777" w:rsidTr="00A70999">
        <w:tc>
          <w:tcPr>
            <w:tcW w:w="704" w:type="dxa"/>
            <w:vAlign w:val="center"/>
          </w:tcPr>
          <w:p w14:paraId="1ABC5902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</w:t>
            </w:r>
          </w:p>
        </w:tc>
        <w:tc>
          <w:tcPr>
            <w:tcW w:w="6237" w:type="dxa"/>
          </w:tcPr>
          <w:p w14:paraId="46AF66BC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 felelőssége, hogy kutatási témát válasszon a doktorandusz számára.</w:t>
            </w:r>
          </w:p>
        </w:tc>
        <w:tc>
          <w:tcPr>
            <w:tcW w:w="1485" w:type="dxa"/>
            <w:vAlign w:val="center"/>
          </w:tcPr>
          <w:p w14:paraId="52051F4D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298EA11E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 felelőssége témájának meghatározása.</w:t>
            </w:r>
          </w:p>
        </w:tc>
      </w:tr>
      <w:tr w:rsidR="001C3C51" w:rsidRPr="001C3C51" w14:paraId="023146D3" w14:textId="77777777" w:rsidTr="00A70999">
        <w:tc>
          <w:tcPr>
            <w:tcW w:w="704" w:type="dxa"/>
            <w:vAlign w:val="center"/>
          </w:tcPr>
          <w:p w14:paraId="1045A680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2</w:t>
            </w:r>
          </w:p>
        </w:tc>
        <w:tc>
          <w:tcPr>
            <w:tcW w:w="6237" w:type="dxa"/>
          </w:tcPr>
          <w:p w14:paraId="5B112E40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Elsősorban a témavezető dönt arról, hogy milyen elméleti keret és/vagy módszer a leginkább alkalmas a kutatási kérdés megválaszolásához.</w:t>
            </w:r>
          </w:p>
        </w:tc>
        <w:tc>
          <w:tcPr>
            <w:tcW w:w="1485" w:type="dxa"/>
            <w:vAlign w:val="center"/>
          </w:tcPr>
          <w:p w14:paraId="3D283E78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4BF146AD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doktorandusznak kell meghatároznia, hogy kutatási kérdését milyen elméleti keret és/vagy módszer segítségével tervezi megválaszolni.</w:t>
            </w:r>
          </w:p>
        </w:tc>
      </w:tr>
      <w:tr w:rsidR="001C3C51" w:rsidRPr="001C3C51" w14:paraId="365737BC" w14:textId="77777777" w:rsidTr="00A70999">
        <w:tc>
          <w:tcPr>
            <w:tcW w:w="704" w:type="dxa"/>
            <w:vAlign w:val="center"/>
          </w:tcPr>
          <w:p w14:paraId="3776B650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3</w:t>
            </w:r>
          </w:p>
        </w:tc>
        <w:tc>
          <w:tcPr>
            <w:tcW w:w="6237" w:type="dxa"/>
          </w:tcPr>
          <w:p w14:paraId="603CF49A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témavezetőnek kell kialakítania a doktorandusz kutatásának ütemezését (időtervét).</w:t>
            </w:r>
          </w:p>
        </w:tc>
        <w:tc>
          <w:tcPr>
            <w:tcW w:w="1485" w:type="dxa"/>
            <w:vAlign w:val="center"/>
          </w:tcPr>
          <w:p w14:paraId="1D80AB1D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6C3131FA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témavezetőnek engednie kell, hogy a doktorandusz kialakíthassa kutatásának ütemezését (időtervét).</w:t>
            </w:r>
          </w:p>
        </w:tc>
      </w:tr>
      <w:tr w:rsidR="001C3C51" w:rsidRPr="001C3C51" w14:paraId="294C5146" w14:textId="77777777" w:rsidTr="00A70999">
        <w:tc>
          <w:tcPr>
            <w:tcW w:w="704" w:type="dxa"/>
            <w:vAlign w:val="center"/>
          </w:tcPr>
          <w:p w14:paraId="4B020123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4</w:t>
            </w:r>
          </w:p>
        </w:tc>
        <w:tc>
          <w:tcPr>
            <w:tcW w:w="6237" w:type="dxa"/>
          </w:tcPr>
          <w:p w14:paraId="26F26D63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 felelőssége arra figyelni, hogy az egyetem által nyújtott szolgáltatások (pl. kutatási adatok, szoftverek elérhetősége, igénylése, könyvtári szolgáltatások) ismertek legyenek a doktorandusz számára.</w:t>
            </w:r>
          </w:p>
        </w:tc>
        <w:tc>
          <w:tcPr>
            <w:tcW w:w="1485" w:type="dxa"/>
            <w:vAlign w:val="center"/>
          </w:tcPr>
          <w:p w14:paraId="3D5B485B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71F39948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 xml:space="preserve">A doktorandusz felelőssége, hogy tájékozódjon az egyetem által nyújtott szolgáltatások (pl. kutatási adatok, szoftverek elérhetősége, igénylése, könyvtári szolgáltatások) igénybevételéről, és elérje azokat. </w:t>
            </w:r>
          </w:p>
        </w:tc>
      </w:tr>
      <w:tr w:rsidR="001C3C51" w:rsidRPr="001C3C51" w14:paraId="13B455EB" w14:textId="77777777" w:rsidTr="00A70999">
        <w:tc>
          <w:tcPr>
            <w:tcW w:w="704" w:type="dxa"/>
            <w:vAlign w:val="center"/>
          </w:tcPr>
          <w:p w14:paraId="6FD6B67B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lastRenderedPageBreak/>
              <w:t>5</w:t>
            </w:r>
          </w:p>
        </w:tc>
        <w:tc>
          <w:tcPr>
            <w:tcW w:w="6237" w:type="dxa"/>
          </w:tcPr>
          <w:p w14:paraId="1B237489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 xml:space="preserve">A témavezető felelőssége, hogy tanácsot adjon azzal kapcsolatosan, hogy a doktorandusznak milyen követelményeket hogyan és mikor kell teljesítenie és hogyan juthat el eredményesen a védésig. </w:t>
            </w:r>
          </w:p>
        </w:tc>
        <w:tc>
          <w:tcPr>
            <w:tcW w:w="1485" w:type="dxa"/>
            <w:vAlign w:val="center"/>
          </w:tcPr>
          <w:p w14:paraId="3A3A7C51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70C01361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 felelőssége, hogy tájékozódjon azzal kapcsolatosan, hogy milyen követelményeket hogyan és mikor kell teljesítenie, és hogyan juthat el eredményesen a védésig.</w:t>
            </w:r>
          </w:p>
        </w:tc>
      </w:tr>
      <w:tr w:rsidR="001C3C51" w:rsidRPr="001C3C51" w14:paraId="25015C1C" w14:textId="77777777" w:rsidTr="00A70999">
        <w:tc>
          <w:tcPr>
            <w:tcW w:w="704" w:type="dxa"/>
            <w:vAlign w:val="center"/>
          </w:tcPr>
          <w:p w14:paraId="0850DE95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6</w:t>
            </w:r>
          </w:p>
        </w:tc>
        <w:tc>
          <w:tcPr>
            <w:tcW w:w="6237" w:type="dxa"/>
          </w:tcPr>
          <w:p w14:paraId="2177B52D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doktorandusz–témavezető kapcsolat tisztán szakmai alapú, és a kettejük közötti személyes kapcsolatot nem kell fejleszteni.</w:t>
            </w:r>
          </w:p>
        </w:tc>
        <w:tc>
          <w:tcPr>
            <w:tcW w:w="1485" w:type="dxa"/>
            <w:vAlign w:val="center"/>
          </w:tcPr>
          <w:p w14:paraId="086E37EC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07641189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Szoros személyes kapcsolat szükséges a sikeres témavezetői tevékenységhez.</w:t>
            </w:r>
          </w:p>
        </w:tc>
      </w:tr>
      <w:tr w:rsidR="001C3C51" w:rsidRPr="001C3C51" w14:paraId="31536490" w14:textId="77777777" w:rsidTr="00A70999">
        <w:tc>
          <w:tcPr>
            <w:tcW w:w="704" w:type="dxa"/>
            <w:vAlign w:val="center"/>
          </w:tcPr>
          <w:p w14:paraId="40375F82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7</w:t>
            </w:r>
          </w:p>
        </w:tc>
        <w:tc>
          <w:tcPr>
            <w:tcW w:w="6237" w:type="dxa"/>
          </w:tcPr>
          <w:p w14:paraId="2757E70E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témavezetőnek rendszeres egyeztetéseket kell kezdeményeznie a doktorandusszal.</w:t>
            </w:r>
          </w:p>
        </w:tc>
        <w:tc>
          <w:tcPr>
            <w:tcW w:w="1485" w:type="dxa"/>
            <w:vAlign w:val="center"/>
          </w:tcPr>
          <w:p w14:paraId="7247BBFB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4503795B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doktorandusznak kell eldöntenie, hogy mikor szeretne találkozni a témavezetőjével.</w:t>
            </w:r>
          </w:p>
        </w:tc>
      </w:tr>
      <w:tr w:rsidR="001C3C51" w:rsidRPr="001C3C51" w14:paraId="48808954" w14:textId="77777777" w:rsidTr="00A70999">
        <w:tc>
          <w:tcPr>
            <w:tcW w:w="704" w:type="dxa"/>
            <w:vAlign w:val="center"/>
          </w:tcPr>
          <w:p w14:paraId="6745AD3F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8</w:t>
            </w:r>
          </w:p>
        </w:tc>
        <w:tc>
          <w:tcPr>
            <w:tcW w:w="6237" w:type="dxa"/>
          </w:tcPr>
          <w:p w14:paraId="771427EB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Az első számú témavezetőnek kell koordinálnia minden kommunikációt a témavezetők és a doktorandusz között.</w:t>
            </w:r>
          </w:p>
        </w:tc>
        <w:tc>
          <w:tcPr>
            <w:tcW w:w="1485" w:type="dxa"/>
            <w:vAlign w:val="center"/>
          </w:tcPr>
          <w:p w14:paraId="5B4C6100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1C3215F1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doktorandusznak kell koordinálnia minden kommunikációt a témavezetők és a doktorandusz között.</w:t>
            </w:r>
          </w:p>
        </w:tc>
      </w:tr>
      <w:tr w:rsidR="001C3C51" w:rsidRPr="001C3C51" w14:paraId="0BFFF18B" w14:textId="77777777" w:rsidTr="00A70999">
        <w:tc>
          <w:tcPr>
            <w:tcW w:w="704" w:type="dxa"/>
            <w:vAlign w:val="center"/>
          </w:tcPr>
          <w:p w14:paraId="06214000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9</w:t>
            </w:r>
          </w:p>
        </w:tc>
        <w:tc>
          <w:tcPr>
            <w:tcW w:w="6237" w:type="dxa"/>
          </w:tcPr>
          <w:p w14:paraId="44A0E35E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témavezetőnek rendszeresen ellenőriznie kell, hogy a doktorandusz a megfelelő intenzitással és módon dolgozik-e a feladatain.</w:t>
            </w:r>
          </w:p>
        </w:tc>
        <w:tc>
          <w:tcPr>
            <w:tcW w:w="1485" w:type="dxa"/>
            <w:vAlign w:val="center"/>
          </w:tcPr>
          <w:p w14:paraId="6B3F5CCB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78D7DB2B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doktorandusznak önállóan, függetlenül kell dolgoznia, és nem kell mérni, hogy hogyan és hol tölti az idejét.</w:t>
            </w:r>
          </w:p>
        </w:tc>
      </w:tr>
      <w:tr w:rsidR="001C3C51" w:rsidRPr="001C3C51" w14:paraId="4E1206BB" w14:textId="77777777" w:rsidTr="00A70999">
        <w:tc>
          <w:tcPr>
            <w:tcW w:w="704" w:type="dxa"/>
            <w:vAlign w:val="center"/>
          </w:tcPr>
          <w:p w14:paraId="74E20AC7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10</w:t>
            </w:r>
          </w:p>
        </w:tc>
        <w:tc>
          <w:tcPr>
            <w:tcW w:w="6237" w:type="dxa"/>
          </w:tcPr>
          <w:p w14:paraId="1EC477B8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témavezetőnek kell mérlegelnie, hogy a tézis milyen benyújtási határidőre szülessen meg.</w:t>
            </w:r>
          </w:p>
        </w:tc>
        <w:tc>
          <w:tcPr>
            <w:tcW w:w="1485" w:type="dxa"/>
            <w:vAlign w:val="center"/>
          </w:tcPr>
          <w:p w14:paraId="72319865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73B050A0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Amíg a doktorandusz kitartóan dolgozik, annyi időt szánhat a disszertáció megírására, amennyit szükségesnek tart.</w:t>
            </w:r>
          </w:p>
        </w:tc>
      </w:tr>
      <w:tr w:rsidR="001C3C51" w:rsidRPr="001C3C51" w14:paraId="303180A2" w14:textId="77777777" w:rsidTr="00A70999">
        <w:tc>
          <w:tcPr>
            <w:tcW w:w="704" w:type="dxa"/>
            <w:vAlign w:val="center"/>
          </w:tcPr>
          <w:p w14:paraId="24991079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11</w:t>
            </w:r>
          </w:p>
        </w:tc>
        <w:tc>
          <w:tcPr>
            <w:tcW w:w="6237" w:type="dxa"/>
          </w:tcPr>
          <w:p w14:paraId="1F19B1F3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 a doktoranduszának minden készülő munkájába betekintést kell nyerjen, hogy biztosíthassa azt, hogy a doktorandusz jó úton halad a doktori cselekmény során.</w:t>
            </w:r>
          </w:p>
        </w:tc>
        <w:tc>
          <w:tcPr>
            <w:tcW w:w="1485" w:type="dxa"/>
            <w:vAlign w:val="center"/>
          </w:tcPr>
          <w:p w14:paraId="37CC6F66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38DA77C5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doktorandusznak csak akkor kell elküldenie vázlatait a témavezetőjének, ha konstruktív kritikát szeretne kapni a témavezetőtől.</w:t>
            </w:r>
          </w:p>
        </w:tc>
      </w:tr>
      <w:tr w:rsidR="001C3C51" w:rsidRPr="001C3C51" w14:paraId="6838C95C" w14:textId="77777777" w:rsidTr="00A70999">
        <w:tc>
          <w:tcPr>
            <w:tcW w:w="704" w:type="dxa"/>
            <w:vAlign w:val="center"/>
          </w:tcPr>
          <w:p w14:paraId="762085F0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12</w:t>
            </w:r>
          </w:p>
        </w:tc>
        <w:tc>
          <w:tcPr>
            <w:tcW w:w="6237" w:type="dxa"/>
          </w:tcPr>
          <w:p w14:paraId="58BF4624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témavezetőnek szükség esetén segítenie kell a tézis szövegezésében, megírásában, és segítenie kell abban, hogy a doktori értekezésről szóló előadás is világos legyen.</w:t>
            </w:r>
          </w:p>
        </w:tc>
        <w:tc>
          <w:tcPr>
            <w:tcW w:w="1485" w:type="dxa"/>
            <w:vAlign w:val="center"/>
          </w:tcPr>
          <w:p w14:paraId="3CF2B9F5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46D4AE8A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tézis szövegezésének, megírásának kizárólag a doktorandusz munkáját kell tükröznie, és teljes felelősséget kell vállalnia a doktori értekezésről szól előadással kapcsolatosan is.</w:t>
            </w:r>
          </w:p>
        </w:tc>
      </w:tr>
      <w:tr w:rsidR="001C3C51" w:rsidRPr="001C3C51" w14:paraId="5A5C6A4D" w14:textId="77777777" w:rsidTr="00A70999">
        <w:tc>
          <w:tcPr>
            <w:tcW w:w="704" w:type="dxa"/>
            <w:vAlign w:val="center"/>
          </w:tcPr>
          <w:p w14:paraId="6591B778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13</w:t>
            </w:r>
          </w:p>
        </w:tc>
        <w:tc>
          <w:tcPr>
            <w:tcW w:w="6237" w:type="dxa"/>
          </w:tcPr>
          <w:p w14:paraId="223869C3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 felelős a tézis színvonalát érintő döntésekért: pl. kutatási kérdések és hipotézisek pontos megfogalmazása, módszertanválasztás és implementáció ellenőrzése, eredmények interpretációja.</w:t>
            </w:r>
          </w:p>
        </w:tc>
        <w:tc>
          <w:tcPr>
            <w:tcW w:w="1485" w:type="dxa"/>
            <w:vAlign w:val="center"/>
          </w:tcPr>
          <w:p w14:paraId="693E1848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0E367613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 felelős a tézis színvonalát érintő döntésekért: pl. kutatási kérdések és hipotézisek pontos megfogalmazása, módszertanválasztás és implementáció ellenőrzése, eredmények interpretációja.</w:t>
            </w:r>
          </w:p>
        </w:tc>
      </w:tr>
      <w:tr w:rsidR="001C3C51" w:rsidRPr="001C3C51" w14:paraId="099169E7" w14:textId="77777777" w:rsidTr="00A70999">
        <w:trPr>
          <w:trHeight w:val="540"/>
        </w:trPr>
        <w:tc>
          <w:tcPr>
            <w:tcW w:w="704" w:type="dxa"/>
            <w:vAlign w:val="center"/>
          </w:tcPr>
          <w:p w14:paraId="2666FD0B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14</w:t>
            </w:r>
          </w:p>
        </w:tc>
        <w:tc>
          <w:tcPr>
            <w:tcW w:w="6237" w:type="dxa"/>
          </w:tcPr>
          <w:p w14:paraId="58064624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témavezető felelős azért, hogy miként ismeri el a doktorandusz és a témavezető hozzájárulását a publikációk megírásához.</w:t>
            </w:r>
          </w:p>
        </w:tc>
        <w:tc>
          <w:tcPr>
            <w:tcW w:w="1485" w:type="dxa"/>
            <w:vAlign w:val="center"/>
          </w:tcPr>
          <w:p w14:paraId="03BDC74C" w14:textId="77777777" w:rsidR="001C3C51" w:rsidRPr="001C3C51" w:rsidRDefault="001C3C51" w:rsidP="001C3C51">
            <w:pPr>
              <w:spacing w:line="259" w:lineRule="auto"/>
              <w:jc w:val="center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1   2   3   4   5</w:t>
            </w:r>
          </w:p>
        </w:tc>
        <w:tc>
          <w:tcPr>
            <w:tcW w:w="6170" w:type="dxa"/>
          </w:tcPr>
          <w:p w14:paraId="22935786" w14:textId="77777777" w:rsidR="001C3C51" w:rsidRPr="001C3C51" w:rsidRDefault="001C3C51" w:rsidP="001C3C51">
            <w:pPr>
              <w:spacing w:line="259" w:lineRule="auto"/>
              <w:jc w:val="left"/>
              <w:rPr>
                <w:rFonts w:ascii="Arial Narrow" w:eastAsia="Calibri" w:hAnsi="Arial Narrow" w:cs="Calibri"/>
                <w:noProof/>
                <w:szCs w:val="24"/>
              </w:rPr>
            </w:pPr>
            <w:r w:rsidRPr="001C3C51">
              <w:rPr>
                <w:rFonts w:ascii="Arial Narrow" w:eastAsia="Calibri" w:hAnsi="Arial Narrow" w:cs="Calibri"/>
                <w:sz w:val="22"/>
              </w:rPr>
              <w:t>A doktorandusznak kell dönteni arról, hogy a témavezetővel írt közös publikációkhoz mekkora a doktorandusz hozzájárulása.</w:t>
            </w:r>
          </w:p>
        </w:tc>
      </w:tr>
    </w:tbl>
    <w:p w14:paraId="2A987B91" w14:textId="77777777" w:rsidR="001C3C51" w:rsidRPr="001C3C51" w:rsidRDefault="001C3C51" w:rsidP="001C3C51">
      <w:pPr>
        <w:jc w:val="left"/>
        <w:rPr>
          <w:rFonts w:ascii="Arial Narrow" w:eastAsia="sans-serif" w:hAnsi="Arial Narrow" w:cs="sans-serif"/>
          <w:noProof/>
          <w:sz w:val="22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 xml:space="preserve">Forrás: </w:t>
      </w:r>
      <w:r w:rsidRPr="001C3C51">
        <w:rPr>
          <w:rFonts w:ascii="Arial Narrow" w:eastAsia="sans-serif" w:hAnsi="Arial Narrow" w:cs="sans-serif"/>
          <w:szCs w:val="24"/>
          <w:lang w:eastAsia="hu-HU"/>
        </w:rPr>
        <w:t xml:space="preserve"> </w:t>
      </w:r>
      <w:r w:rsidRPr="001C3C51">
        <w:rPr>
          <w:rFonts w:ascii="Arial Narrow" w:eastAsia="Times New Roman" w:hAnsi="Arial Narrow" w:cs="Times New Roman"/>
          <w:sz w:val="22"/>
          <w:lang w:eastAsia="hu-HU"/>
        </w:rPr>
        <w:t>Kiley &amp; Cadman, 1997, Advisory Centre for University Education, The University of Adelaide</w:t>
      </w:r>
    </w:p>
    <w:p w14:paraId="36C92971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</w:p>
    <w:p w14:paraId="5E479DA1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>“Megismertem és elfogadom a jövőbeli doktorandusz/témavezető értékrendjét és álláspontját és a fentiek ismeretében készen állok az együttműködésre.”</w:t>
      </w:r>
    </w:p>
    <w:p w14:paraId="1D6ED091" w14:textId="77777777" w:rsidR="00DD13C9" w:rsidRDefault="00DD13C9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</w:p>
    <w:p w14:paraId="7C77118F" w14:textId="005B5CDC" w:rsidR="001C3C51" w:rsidRDefault="00DD13C9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  <w:r>
        <w:rPr>
          <w:rFonts w:ascii="Arial Narrow" w:eastAsia="Calibri" w:hAnsi="Arial Narrow" w:cs="Calibri"/>
          <w:sz w:val="22"/>
          <w:lang w:eastAsia="hu-HU"/>
        </w:rPr>
        <w:lastRenderedPageBreak/>
        <w:t>Veszprém</w:t>
      </w:r>
      <w:r w:rsidR="001C3C51" w:rsidRPr="001C3C51">
        <w:rPr>
          <w:rFonts w:ascii="Arial Narrow" w:eastAsia="Calibri" w:hAnsi="Arial Narrow" w:cs="Calibri"/>
          <w:sz w:val="22"/>
          <w:lang w:eastAsia="hu-HU"/>
        </w:rPr>
        <w:t>, 20</w:t>
      </w:r>
      <w:r>
        <w:rPr>
          <w:rFonts w:ascii="Arial Narrow" w:eastAsia="Calibri" w:hAnsi="Arial Narrow" w:cs="Calibri"/>
          <w:sz w:val="22"/>
          <w:lang w:eastAsia="hu-HU"/>
        </w:rPr>
        <w:t>…</w:t>
      </w:r>
    </w:p>
    <w:p w14:paraId="4C0604D1" w14:textId="1DF395CE" w:rsidR="00DD13C9" w:rsidRDefault="00DD13C9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</w:p>
    <w:p w14:paraId="24C6B377" w14:textId="77777777" w:rsidR="00DD13C9" w:rsidRPr="001C3C51" w:rsidRDefault="00DD13C9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</w:p>
    <w:p w14:paraId="7EE9A69D" w14:textId="77777777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</w:p>
    <w:p w14:paraId="394855FF" w14:textId="77777777" w:rsidR="00DD13C9" w:rsidRDefault="001C3C51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 xml:space="preserve">…...........................    </w:t>
      </w:r>
    </w:p>
    <w:p w14:paraId="00E8EAD9" w14:textId="77777777" w:rsidR="00DD13C9" w:rsidRDefault="00DD13C9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  <w:r>
        <w:rPr>
          <w:rFonts w:ascii="Arial Narrow" w:eastAsia="Calibri" w:hAnsi="Arial Narrow" w:cs="Calibri"/>
          <w:sz w:val="22"/>
          <w:lang w:eastAsia="hu-HU"/>
        </w:rPr>
        <w:t xml:space="preserve"> </w:t>
      </w:r>
      <w:r w:rsidRPr="001C3C51">
        <w:rPr>
          <w:rFonts w:ascii="Arial Narrow" w:eastAsia="Calibri" w:hAnsi="Arial Narrow" w:cs="Calibri"/>
          <w:sz w:val="22"/>
          <w:lang w:eastAsia="hu-HU"/>
        </w:rPr>
        <w:t xml:space="preserve">Témavezető         </w:t>
      </w:r>
    </w:p>
    <w:p w14:paraId="71EDC094" w14:textId="77777777" w:rsidR="00DD13C9" w:rsidRDefault="00DD13C9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</w:p>
    <w:p w14:paraId="66E13297" w14:textId="77777777" w:rsidR="00DD13C9" w:rsidRDefault="00DD13C9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</w:p>
    <w:p w14:paraId="16EBB845" w14:textId="77777777" w:rsidR="00DD13C9" w:rsidRDefault="00DD13C9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</w:p>
    <w:p w14:paraId="64A9C50D" w14:textId="685EC656" w:rsidR="001C3C51" w:rsidRPr="00DD13C9" w:rsidRDefault="001C3C51" w:rsidP="001C3C51">
      <w:pPr>
        <w:jc w:val="left"/>
        <w:rPr>
          <w:rFonts w:ascii="Arial Narrow" w:eastAsia="Calibri" w:hAnsi="Arial Narrow" w:cs="Calibri"/>
          <w:sz w:val="22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>….........................</w:t>
      </w:r>
    </w:p>
    <w:p w14:paraId="5FF972D7" w14:textId="29361EC6" w:rsidR="001C3C51" w:rsidRPr="001C3C51" w:rsidRDefault="001C3C51" w:rsidP="001C3C51">
      <w:pPr>
        <w:jc w:val="left"/>
        <w:rPr>
          <w:rFonts w:ascii="Arial Narrow" w:eastAsia="Calibri" w:hAnsi="Arial Narrow" w:cs="Calibri"/>
          <w:noProof/>
          <w:szCs w:val="24"/>
          <w:lang w:eastAsia="hu-HU"/>
        </w:rPr>
      </w:pPr>
      <w:r w:rsidRPr="001C3C51">
        <w:rPr>
          <w:rFonts w:ascii="Arial Narrow" w:eastAsia="Calibri" w:hAnsi="Arial Narrow" w:cs="Calibri"/>
          <w:sz w:val="22"/>
          <w:lang w:eastAsia="hu-HU"/>
        </w:rPr>
        <w:t xml:space="preserve">Témavezető                                            </w:t>
      </w:r>
      <w:r w:rsidR="00DD13C9">
        <w:rPr>
          <w:rFonts w:ascii="Arial Narrow" w:eastAsia="Calibri" w:hAnsi="Arial Narrow" w:cs="Calibri"/>
          <w:sz w:val="22"/>
          <w:lang w:eastAsia="hu-HU"/>
        </w:rPr>
        <w:tab/>
      </w:r>
      <w:r w:rsidR="00DD13C9">
        <w:rPr>
          <w:rFonts w:ascii="Arial Narrow" w:eastAsia="Calibri" w:hAnsi="Arial Narrow" w:cs="Calibri"/>
          <w:sz w:val="22"/>
          <w:lang w:eastAsia="hu-HU"/>
        </w:rPr>
        <w:tab/>
      </w:r>
      <w:r w:rsidR="00DD13C9">
        <w:rPr>
          <w:rFonts w:ascii="Arial Narrow" w:eastAsia="Calibri" w:hAnsi="Arial Narrow" w:cs="Calibri"/>
          <w:sz w:val="22"/>
          <w:lang w:eastAsia="hu-HU"/>
        </w:rPr>
        <w:tab/>
      </w:r>
      <w:r w:rsidRPr="001C3C51">
        <w:rPr>
          <w:rFonts w:ascii="Arial Narrow" w:eastAsia="Calibri" w:hAnsi="Arial Narrow" w:cs="Calibri"/>
          <w:sz w:val="22"/>
          <w:lang w:eastAsia="hu-HU"/>
        </w:rPr>
        <w:t xml:space="preserve">   Doktorandusz</w:t>
      </w:r>
    </w:p>
    <w:p w14:paraId="75F9B75C" w14:textId="77777777" w:rsidR="00F32011" w:rsidRDefault="00F32011"/>
    <w:sectPr w:rsidR="00F32011" w:rsidSect="001C3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9D5"/>
    <w:multiLevelType w:val="hybridMultilevel"/>
    <w:tmpl w:val="2320C5BE"/>
    <w:lvl w:ilvl="0" w:tplc="ABCEAB66">
      <w:start w:val="1"/>
      <w:numFmt w:val="decimal"/>
      <w:lvlText w:val="%1."/>
      <w:lvlJc w:val="left"/>
      <w:pPr>
        <w:ind w:left="720" w:hanging="360"/>
      </w:pPr>
    </w:lvl>
    <w:lvl w:ilvl="1" w:tplc="13B09BB0">
      <w:start w:val="1"/>
      <w:numFmt w:val="lowerLetter"/>
      <w:lvlText w:val="%2."/>
      <w:lvlJc w:val="left"/>
      <w:pPr>
        <w:ind w:left="1440" w:hanging="360"/>
      </w:pPr>
    </w:lvl>
    <w:lvl w:ilvl="2" w:tplc="226601A8">
      <w:start w:val="1"/>
      <w:numFmt w:val="lowerRoman"/>
      <w:lvlText w:val="%3."/>
      <w:lvlJc w:val="right"/>
      <w:pPr>
        <w:ind w:left="2160" w:hanging="180"/>
      </w:pPr>
    </w:lvl>
    <w:lvl w:ilvl="3" w:tplc="D21E870E">
      <w:start w:val="1"/>
      <w:numFmt w:val="decimal"/>
      <w:lvlText w:val="%4."/>
      <w:lvlJc w:val="left"/>
      <w:pPr>
        <w:ind w:left="2880" w:hanging="360"/>
      </w:pPr>
    </w:lvl>
    <w:lvl w:ilvl="4" w:tplc="8538537C">
      <w:start w:val="1"/>
      <w:numFmt w:val="lowerLetter"/>
      <w:lvlText w:val="%5."/>
      <w:lvlJc w:val="left"/>
      <w:pPr>
        <w:ind w:left="3600" w:hanging="360"/>
      </w:pPr>
    </w:lvl>
    <w:lvl w:ilvl="5" w:tplc="0E2ADCA0">
      <w:start w:val="1"/>
      <w:numFmt w:val="lowerRoman"/>
      <w:lvlText w:val="%6."/>
      <w:lvlJc w:val="right"/>
      <w:pPr>
        <w:ind w:left="4320" w:hanging="180"/>
      </w:pPr>
    </w:lvl>
    <w:lvl w:ilvl="6" w:tplc="7CECC732">
      <w:start w:val="1"/>
      <w:numFmt w:val="decimal"/>
      <w:lvlText w:val="%7."/>
      <w:lvlJc w:val="left"/>
      <w:pPr>
        <w:ind w:left="5040" w:hanging="360"/>
      </w:pPr>
    </w:lvl>
    <w:lvl w:ilvl="7" w:tplc="6F243D54">
      <w:start w:val="1"/>
      <w:numFmt w:val="lowerLetter"/>
      <w:lvlText w:val="%8."/>
      <w:lvlJc w:val="left"/>
      <w:pPr>
        <w:ind w:left="5760" w:hanging="360"/>
      </w:pPr>
    </w:lvl>
    <w:lvl w:ilvl="8" w:tplc="2BA82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51"/>
    <w:rsid w:val="001C3C51"/>
    <w:rsid w:val="00441B03"/>
    <w:rsid w:val="00507DF7"/>
    <w:rsid w:val="005C4BD9"/>
    <w:rsid w:val="00B40D52"/>
    <w:rsid w:val="00CE373F"/>
    <w:rsid w:val="00D4167F"/>
    <w:rsid w:val="00DD13C9"/>
    <w:rsid w:val="00EB5FAE"/>
    <w:rsid w:val="00F225F3"/>
    <w:rsid w:val="00F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7141"/>
  <w15:chartTrackingRefBased/>
  <w15:docId w15:val="{372738C2-7918-4E39-B6DD-B16F6873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167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C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Kaszáné Csehi Diána</cp:lastModifiedBy>
  <cp:revision>2</cp:revision>
  <dcterms:created xsi:type="dcterms:W3CDTF">2023-09-27T10:36:00Z</dcterms:created>
  <dcterms:modified xsi:type="dcterms:W3CDTF">2023-09-27T10:36:00Z</dcterms:modified>
</cp:coreProperties>
</file>